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1BE25">
      <w:pPr>
        <w:autoSpaceDE w:val="0"/>
        <w:autoSpaceDN w:val="0"/>
        <w:adjustRightInd w:val="0"/>
        <w:jc w:val="center"/>
        <w:rPr>
          <w:rFonts w:ascii="宋体"/>
          <w:b/>
          <w:bCs/>
          <w:kern w:val="0"/>
          <w:sz w:val="28"/>
          <w:szCs w:val="21"/>
          <w:lang w:val="zh-CN"/>
        </w:rPr>
      </w:pPr>
      <w:r>
        <w:rPr>
          <w:rFonts w:hint="eastAsia" w:ascii="宋体"/>
          <w:b/>
          <w:bCs/>
          <w:kern w:val="0"/>
          <w:sz w:val="28"/>
          <w:szCs w:val="21"/>
          <w:lang w:val="zh-CN"/>
        </w:rPr>
        <w:t>刑事裁定书（</w:t>
      </w:r>
      <w:r>
        <w:rPr>
          <w:rFonts w:hint="eastAsia" w:ascii="宋体"/>
          <w:b/>
          <w:bCs/>
          <w:kern w:val="0"/>
          <w:sz w:val="28"/>
          <w:szCs w:val="21"/>
          <w:lang w:val="en-US" w:eastAsia="zh-CN"/>
        </w:rPr>
        <w:t>按二审程序再审维持原判用</w:t>
      </w:r>
      <w:r>
        <w:rPr>
          <w:rFonts w:hint="eastAsia" w:ascii="宋体"/>
          <w:b/>
          <w:bCs/>
          <w:kern w:val="0"/>
          <w:sz w:val="28"/>
          <w:szCs w:val="21"/>
          <w:lang w:val="zh-CN"/>
        </w:rPr>
        <w:t>）</w:t>
      </w:r>
    </w:p>
    <w:p w14:paraId="0F0B9B14">
      <w:pPr>
        <w:autoSpaceDE w:val="0"/>
        <w:autoSpaceDN w:val="0"/>
        <w:adjustRightInd w:val="0"/>
        <w:jc w:val="left"/>
        <w:rPr>
          <w:rFonts w:ascii="宋体"/>
          <w:kern w:val="0"/>
          <w:szCs w:val="21"/>
          <w:lang w:val="zh-CN"/>
        </w:rPr>
      </w:pPr>
    </w:p>
    <w:p w14:paraId="614DDCA0">
      <w:pPr>
        <w:autoSpaceDE w:val="0"/>
        <w:autoSpaceDN w:val="0"/>
        <w:adjustRightInd w:val="0"/>
        <w:jc w:val="left"/>
        <w:rPr>
          <w:rFonts w:ascii="宋体"/>
          <w:kern w:val="0"/>
          <w:szCs w:val="21"/>
          <w:lang w:val="zh-CN"/>
        </w:rPr>
      </w:pPr>
    </w:p>
    <w:p w14:paraId="26C18E4B">
      <w:pPr>
        <w:autoSpaceDE w:val="0"/>
        <w:autoSpaceDN w:val="0"/>
        <w:adjustRightInd w:val="0"/>
        <w:spacing w:line="360" w:lineRule="auto"/>
        <w:jc w:val="left"/>
        <w:rPr>
          <w:rFonts w:ascii="宋体"/>
          <w:kern w:val="0"/>
          <w:szCs w:val="21"/>
          <w:lang w:val="zh-CN"/>
        </w:rPr>
      </w:pPr>
      <w:r>
        <w:rPr>
          <w:rFonts w:hint="eastAsia" w:ascii="宋体"/>
          <w:kern w:val="0"/>
          <w:szCs w:val="21"/>
          <w:lang w:val="zh-CN"/>
        </w:rPr>
        <w:t>　　　　　　　　　　　　　　××××人民法院</w:t>
      </w:r>
      <w:r>
        <w:rPr>
          <w:rFonts w:ascii="宋体"/>
          <w:kern w:val="0"/>
          <w:szCs w:val="21"/>
          <w:lang w:val="zh-CN"/>
        </w:rPr>
        <w:t xml:space="preserve"> </w:t>
      </w:r>
    </w:p>
    <w:p w14:paraId="18B8A4DD">
      <w:pPr>
        <w:autoSpaceDE w:val="0"/>
        <w:autoSpaceDN w:val="0"/>
        <w:adjustRightInd w:val="0"/>
        <w:spacing w:line="360" w:lineRule="auto"/>
        <w:jc w:val="left"/>
        <w:rPr>
          <w:rFonts w:ascii="宋体"/>
          <w:kern w:val="0"/>
          <w:szCs w:val="21"/>
          <w:lang w:val="zh-CN"/>
        </w:rPr>
      </w:pPr>
      <w:r>
        <w:rPr>
          <w:rFonts w:hint="eastAsia" w:ascii="宋体"/>
          <w:kern w:val="0"/>
          <w:szCs w:val="21"/>
          <w:lang w:val="zh-CN"/>
        </w:rPr>
        <w:t>　　　　　　　　　　　　　　　</w:t>
      </w:r>
      <w:r>
        <w:rPr>
          <w:rFonts w:ascii="宋体"/>
          <w:kern w:val="0"/>
          <w:szCs w:val="21"/>
          <w:lang w:val="zh-CN"/>
        </w:rPr>
        <w:t xml:space="preserve"> </w:t>
      </w:r>
      <w:r>
        <w:rPr>
          <w:rFonts w:hint="eastAsia" w:ascii="宋体"/>
          <w:kern w:val="0"/>
          <w:szCs w:val="21"/>
          <w:lang w:val="zh-CN"/>
        </w:rPr>
        <w:t>刑事裁定书</w:t>
      </w:r>
      <w:r>
        <w:rPr>
          <w:rFonts w:ascii="宋体"/>
          <w:kern w:val="0"/>
          <w:szCs w:val="21"/>
          <w:lang w:val="zh-CN"/>
        </w:rPr>
        <w:t xml:space="preserve"> </w:t>
      </w:r>
    </w:p>
    <w:p w14:paraId="1F324E18">
      <w:pPr>
        <w:autoSpaceDE w:val="0"/>
        <w:autoSpaceDN w:val="0"/>
        <w:adjustRightInd w:val="0"/>
        <w:spacing w:line="360" w:lineRule="auto"/>
        <w:jc w:val="center"/>
        <w:rPr>
          <w:rFonts w:ascii="宋体"/>
          <w:kern w:val="0"/>
          <w:szCs w:val="21"/>
          <w:lang w:val="zh-CN"/>
        </w:rPr>
      </w:pPr>
      <w:r>
        <w:rPr>
          <w:rFonts w:hint="eastAsia" w:ascii="宋体" w:hAnsi="Times New Roman" w:cs="Times New Roman"/>
          <w:kern w:val="0"/>
          <w:szCs w:val="21"/>
          <w:lang w:val="zh-CN"/>
        </w:rPr>
        <w:t>（</w:t>
      </w:r>
      <w:r>
        <w:rPr>
          <w:rFonts w:hint="eastAsia" w:ascii="宋体" w:hAnsi="Times New Roman" w:cs="Times New Roman"/>
          <w:kern w:val="0"/>
          <w:szCs w:val="21"/>
          <w:lang w:val="en-US" w:eastAsia="zh-CN"/>
        </w:rPr>
        <w:t>按二审程序再审维持原判用</w:t>
      </w:r>
      <w:r>
        <w:rPr>
          <w:rFonts w:hint="eastAsia" w:ascii="宋体"/>
          <w:kern w:val="0"/>
          <w:szCs w:val="21"/>
          <w:lang w:val="zh-CN"/>
        </w:rPr>
        <w:t>）</w:t>
      </w:r>
    </w:p>
    <w:p w14:paraId="1F53B0E7">
      <w:pPr>
        <w:autoSpaceDE w:val="0"/>
        <w:autoSpaceDN w:val="0"/>
        <w:adjustRightInd w:val="0"/>
        <w:spacing w:line="360" w:lineRule="auto"/>
        <w:jc w:val="left"/>
        <w:rPr>
          <w:rFonts w:ascii="宋体"/>
          <w:kern w:val="0"/>
          <w:szCs w:val="21"/>
          <w:lang w:val="zh-CN"/>
        </w:rPr>
      </w:pPr>
      <w:r>
        <w:rPr>
          <w:rFonts w:hint="eastAsia" w:ascii="宋体"/>
          <w:kern w:val="0"/>
          <w:szCs w:val="21"/>
          <w:lang w:val="zh-CN"/>
        </w:rPr>
        <w:t>　　　　　　　　　　　　　　　　　　（××××）×刑再终字第××号</w:t>
      </w:r>
      <w:r>
        <w:rPr>
          <w:rFonts w:ascii="宋体"/>
          <w:kern w:val="0"/>
          <w:szCs w:val="21"/>
          <w:lang w:val="zh-CN"/>
        </w:rPr>
        <w:t xml:space="preserve"> </w:t>
      </w:r>
    </w:p>
    <w:p w14:paraId="50489D2B">
      <w:pPr>
        <w:autoSpaceDE w:val="0"/>
        <w:autoSpaceDN w:val="0"/>
        <w:adjustRightInd w:val="0"/>
        <w:spacing w:line="360" w:lineRule="auto"/>
        <w:jc w:val="left"/>
        <w:rPr>
          <w:rFonts w:ascii="宋体"/>
          <w:kern w:val="0"/>
          <w:szCs w:val="21"/>
          <w:lang w:val="zh-CN"/>
        </w:rPr>
      </w:pPr>
      <w:r>
        <w:rPr>
          <w:rFonts w:hint="eastAsia" w:ascii="宋体"/>
          <w:kern w:val="0"/>
          <w:szCs w:val="21"/>
          <w:lang w:val="zh-CN"/>
        </w:rPr>
        <w:t>　　原公诉机关××××人民检察院。</w:t>
      </w:r>
      <w:r>
        <w:rPr>
          <w:rFonts w:ascii="宋体"/>
          <w:kern w:val="0"/>
          <w:szCs w:val="21"/>
          <w:lang w:val="zh-CN"/>
        </w:rPr>
        <w:t xml:space="preserve"> </w:t>
      </w:r>
    </w:p>
    <w:p w14:paraId="2EE8A40F">
      <w:pPr>
        <w:autoSpaceDE w:val="0"/>
        <w:autoSpaceDN w:val="0"/>
        <w:adjustRightInd w:val="0"/>
        <w:spacing w:line="360" w:lineRule="auto"/>
        <w:jc w:val="left"/>
        <w:rPr>
          <w:rFonts w:ascii="宋体"/>
          <w:kern w:val="0"/>
          <w:szCs w:val="21"/>
          <w:lang w:val="zh-CN"/>
        </w:rPr>
      </w:pPr>
      <w:r>
        <w:rPr>
          <w:rFonts w:hint="eastAsia" w:ascii="宋体"/>
          <w:kern w:val="0"/>
          <w:szCs w:val="21"/>
          <w:lang w:val="zh-CN"/>
        </w:rPr>
        <w:t>　　上诉人（原审被告人）……（写明姓名、性别、出生年月日、民族、籍贯、职业或工作单位和职务、住址等，现在何处）。</w:t>
      </w:r>
      <w:r>
        <w:rPr>
          <w:rFonts w:ascii="宋体"/>
          <w:kern w:val="0"/>
          <w:szCs w:val="21"/>
          <w:lang w:val="zh-CN"/>
        </w:rPr>
        <w:t xml:space="preserve"> </w:t>
      </w:r>
    </w:p>
    <w:p w14:paraId="2887B30E">
      <w:pPr>
        <w:autoSpaceDE w:val="0"/>
        <w:autoSpaceDN w:val="0"/>
        <w:adjustRightInd w:val="0"/>
        <w:spacing w:line="360" w:lineRule="auto"/>
        <w:jc w:val="left"/>
        <w:rPr>
          <w:rFonts w:ascii="宋体"/>
          <w:kern w:val="0"/>
          <w:szCs w:val="21"/>
          <w:lang w:val="zh-CN"/>
        </w:rPr>
      </w:pPr>
      <w:r>
        <w:rPr>
          <w:rFonts w:hint="eastAsia" w:ascii="宋体"/>
          <w:kern w:val="0"/>
          <w:szCs w:val="21"/>
          <w:lang w:val="zh-CN"/>
        </w:rPr>
        <w:t>　　辩护人……（写明姓名、性别、工作单位和职务）。</w:t>
      </w:r>
      <w:r>
        <w:rPr>
          <w:rFonts w:ascii="宋体"/>
          <w:kern w:val="0"/>
          <w:szCs w:val="21"/>
          <w:lang w:val="zh-CN"/>
        </w:rPr>
        <w:t xml:space="preserve"> </w:t>
      </w:r>
    </w:p>
    <w:p w14:paraId="2BB700C0">
      <w:pPr>
        <w:autoSpaceDE w:val="0"/>
        <w:autoSpaceDN w:val="0"/>
        <w:adjustRightInd w:val="0"/>
        <w:spacing w:line="360" w:lineRule="auto"/>
        <w:jc w:val="left"/>
        <w:rPr>
          <w:rFonts w:ascii="宋体"/>
          <w:kern w:val="0"/>
          <w:szCs w:val="21"/>
          <w:lang w:val="zh-CN"/>
        </w:rPr>
      </w:pPr>
      <w:r>
        <w:rPr>
          <w:rFonts w:hint="eastAsia" w:ascii="宋体"/>
          <w:kern w:val="0"/>
          <w:szCs w:val="21"/>
          <w:lang w:val="zh-CN"/>
        </w:rPr>
        <w:t>　　原审被告人……（写明姓名和案由）一案，××××人民法院于××××年××月××日作出（××××）×刑初字第××号刑事判决，已发生法律效力。……（此处简写一审法院提起再审程序的经过）。××××人民法院经过再审，于××××年××月××日作出（××××）×刑再初字第××号刑事裁定（或判决），原审被告人×××提出上诉，本院依法组成合议庭，公开（或不公开）开庭审理了本案。××××人民检察院检察长（或员）×××出庭执行职务，上诉人（原审被告人）×××及其辩护人×××到庭参加诉讼。本案现已审理终结（未开庭的改为</w:t>
      </w:r>
      <w:r>
        <w:rPr>
          <w:rFonts w:ascii="宋体"/>
          <w:kern w:val="0"/>
          <w:szCs w:val="21"/>
          <w:lang w:val="zh-CN"/>
        </w:rPr>
        <w:t>“</w:t>
      </w:r>
      <w:r>
        <w:rPr>
          <w:rFonts w:hint="eastAsia" w:ascii="宋体"/>
          <w:kern w:val="0"/>
          <w:szCs w:val="21"/>
          <w:lang w:val="zh-CN"/>
        </w:rPr>
        <w:t>本院依法组成合议庭审理了本案，现已审理终结</w:t>
      </w:r>
      <w:r>
        <w:rPr>
          <w:rFonts w:ascii="宋体"/>
          <w:kern w:val="0"/>
          <w:szCs w:val="21"/>
          <w:lang w:val="zh-CN"/>
        </w:rPr>
        <w:t>”</w:t>
      </w:r>
      <w:r>
        <w:rPr>
          <w:rFonts w:hint="eastAsia" w:ascii="宋体"/>
          <w:kern w:val="0"/>
          <w:szCs w:val="21"/>
          <w:lang w:val="zh-CN"/>
        </w:rPr>
        <w:t>）。</w:t>
      </w:r>
      <w:r>
        <w:rPr>
          <w:rFonts w:ascii="宋体"/>
          <w:kern w:val="0"/>
          <w:szCs w:val="21"/>
          <w:lang w:val="zh-CN"/>
        </w:rPr>
        <w:t xml:space="preserve"> </w:t>
      </w:r>
    </w:p>
    <w:p w14:paraId="61A8FB5E">
      <w:pPr>
        <w:autoSpaceDE w:val="0"/>
        <w:autoSpaceDN w:val="0"/>
        <w:adjustRightInd w:val="0"/>
        <w:spacing w:line="360" w:lineRule="auto"/>
        <w:jc w:val="left"/>
        <w:rPr>
          <w:rFonts w:ascii="宋体"/>
          <w:kern w:val="0"/>
          <w:szCs w:val="21"/>
          <w:lang w:val="zh-CN"/>
        </w:rPr>
      </w:pPr>
      <w:r>
        <w:rPr>
          <w:rFonts w:hint="eastAsia" w:ascii="宋体"/>
          <w:kern w:val="0"/>
          <w:szCs w:val="21"/>
          <w:lang w:val="zh-CN"/>
        </w:rPr>
        <w:t>　　……（首先概述一审法院的再审裁定或判决的基本内容，其次写明上诉、辩护的主要意见。如果检察院在再审中提出新的意见，应一并写明）。</w:t>
      </w:r>
      <w:r>
        <w:rPr>
          <w:rFonts w:ascii="宋体"/>
          <w:kern w:val="0"/>
          <w:szCs w:val="21"/>
          <w:lang w:val="zh-CN"/>
        </w:rPr>
        <w:t xml:space="preserve"> </w:t>
      </w:r>
    </w:p>
    <w:p w14:paraId="41D5772E">
      <w:pPr>
        <w:autoSpaceDE w:val="0"/>
        <w:autoSpaceDN w:val="0"/>
        <w:adjustRightInd w:val="0"/>
        <w:spacing w:line="360" w:lineRule="auto"/>
        <w:jc w:val="left"/>
        <w:rPr>
          <w:rFonts w:ascii="宋体"/>
          <w:kern w:val="0"/>
          <w:szCs w:val="21"/>
          <w:lang w:val="zh-CN"/>
        </w:rPr>
      </w:pPr>
      <w:r>
        <w:rPr>
          <w:rFonts w:hint="eastAsia" w:ascii="宋体"/>
          <w:kern w:val="0"/>
          <w:szCs w:val="21"/>
          <w:lang w:val="zh-CN"/>
        </w:rPr>
        <w:t>　　经审理查明，……（肯定一审法院的再审裁定或判决认定的事实、情节是正确的，证据确凿、充分。如果上诉、辩护等对事实、情节方面提出异议，应通过对有关证据的分析论证，予以否定）。</w:t>
      </w:r>
      <w:r>
        <w:rPr>
          <w:rFonts w:ascii="宋体"/>
          <w:kern w:val="0"/>
          <w:szCs w:val="21"/>
          <w:lang w:val="zh-CN"/>
        </w:rPr>
        <w:t xml:space="preserve"> </w:t>
      </w:r>
    </w:p>
    <w:p w14:paraId="0FEAE4F1">
      <w:pPr>
        <w:autoSpaceDE w:val="0"/>
        <w:autoSpaceDN w:val="0"/>
        <w:adjustRightInd w:val="0"/>
        <w:spacing w:line="360" w:lineRule="auto"/>
        <w:jc w:val="left"/>
        <w:rPr>
          <w:rFonts w:ascii="宋体"/>
          <w:kern w:val="0"/>
          <w:szCs w:val="21"/>
          <w:lang w:val="zh-CN"/>
        </w:rPr>
      </w:pPr>
      <w:r>
        <w:rPr>
          <w:rFonts w:hint="eastAsia" w:ascii="宋体"/>
          <w:kern w:val="0"/>
          <w:szCs w:val="21"/>
          <w:lang w:val="zh-CN"/>
        </w:rPr>
        <w:t>　　本院认为，……（根据本院进一步查证属实的事实、情节和当时的法律政策，分析批驳上诉、辩护等对定罪量刑方面不服的主要意见和理由，论证一审法院再审判决的正确性）。依照……（写明裁定所依据的法律条款项）的规定，裁定如下：</w:t>
      </w:r>
      <w:r>
        <w:rPr>
          <w:rFonts w:ascii="宋体"/>
          <w:kern w:val="0"/>
          <w:szCs w:val="21"/>
          <w:lang w:val="zh-CN"/>
        </w:rPr>
        <w:t xml:space="preserve"> </w:t>
      </w:r>
    </w:p>
    <w:p w14:paraId="7878AF22">
      <w:pPr>
        <w:autoSpaceDE w:val="0"/>
        <w:autoSpaceDN w:val="0"/>
        <w:adjustRightInd w:val="0"/>
        <w:spacing w:line="360" w:lineRule="auto"/>
        <w:jc w:val="left"/>
        <w:rPr>
          <w:rFonts w:ascii="宋体"/>
          <w:kern w:val="0"/>
          <w:szCs w:val="21"/>
          <w:lang w:val="zh-CN"/>
        </w:rPr>
      </w:pPr>
      <w:r>
        <w:rPr>
          <w:rFonts w:hint="eastAsia" w:ascii="宋体"/>
          <w:kern w:val="0"/>
          <w:szCs w:val="21"/>
          <w:lang w:val="zh-CN"/>
        </w:rPr>
        <w:t>　　……〔写明裁定结果。分两种情况：</w:t>
      </w:r>
      <w:r>
        <w:rPr>
          <w:rFonts w:ascii="宋体"/>
          <w:kern w:val="0"/>
          <w:szCs w:val="21"/>
          <w:lang w:val="zh-CN"/>
        </w:rPr>
        <w:t xml:space="preserve"> </w:t>
      </w:r>
    </w:p>
    <w:p w14:paraId="2CAEB426">
      <w:pPr>
        <w:autoSpaceDE w:val="0"/>
        <w:autoSpaceDN w:val="0"/>
        <w:adjustRightInd w:val="0"/>
        <w:spacing w:line="360" w:lineRule="auto"/>
        <w:jc w:val="left"/>
        <w:rPr>
          <w:rFonts w:ascii="宋体"/>
          <w:kern w:val="0"/>
          <w:szCs w:val="21"/>
          <w:lang w:val="zh-CN"/>
        </w:rPr>
      </w:pPr>
      <w:r>
        <w:rPr>
          <w:rFonts w:hint="eastAsia" w:ascii="宋体"/>
          <w:kern w:val="0"/>
          <w:szCs w:val="21"/>
          <w:lang w:val="zh-CN"/>
        </w:rPr>
        <w:t>　　第一、一审法院再审系裁定维持原判的，表述为：</w:t>
      </w:r>
      <w:r>
        <w:rPr>
          <w:rFonts w:ascii="宋体"/>
          <w:kern w:val="0"/>
          <w:szCs w:val="21"/>
          <w:lang w:val="zh-CN"/>
        </w:rPr>
        <w:t xml:space="preserve"> </w:t>
      </w:r>
    </w:p>
    <w:p w14:paraId="343D0412">
      <w:pPr>
        <w:autoSpaceDE w:val="0"/>
        <w:autoSpaceDN w:val="0"/>
        <w:adjustRightInd w:val="0"/>
        <w:spacing w:line="360" w:lineRule="auto"/>
        <w:jc w:val="left"/>
        <w:rPr>
          <w:rFonts w:ascii="宋体"/>
          <w:kern w:val="0"/>
          <w:szCs w:val="21"/>
          <w:lang w:val="zh-CN"/>
        </w:rPr>
      </w:pPr>
      <w:r>
        <w:rPr>
          <w:rFonts w:hint="eastAsia" w:ascii="宋体"/>
          <w:kern w:val="0"/>
          <w:szCs w:val="21"/>
          <w:lang w:val="zh-CN"/>
        </w:rPr>
        <w:t>　　</w:t>
      </w:r>
      <w:r>
        <w:rPr>
          <w:rFonts w:ascii="宋体"/>
          <w:kern w:val="0"/>
          <w:szCs w:val="21"/>
          <w:lang w:val="zh-CN"/>
        </w:rPr>
        <w:t>“</w:t>
      </w:r>
      <w:r>
        <w:rPr>
          <w:rFonts w:hint="eastAsia" w:ascii="宋体"/>
          <w:kern w:val="0"/>
          <w:szCs w:val="21"/>
          <w:lang w:val="zh-CN"/>
        </w:rPr>
        <w:t>驳回上诉，维持××××人民法院（××××）×刑初字第××号刑事判决和××××人民法院（××××）×刑再初字第××号刑事裁定。</w:t>
      </w:r>
      <w:r>
        <w:rPr>
          <w:rFonts w:ascii="宋体"/>
          <w:kern w:val="0"/>
          <w:szCs w:val="21"/>
          <w:lang w:val="zh-CN"/>
        </w:rPr>
        <w:t xml:space="preserve">” </w:t>
      </w:r>
    </w:p>
    <w:p w14:paraId="5E143168">
      <w:pPr>
        <w:autoSpaceDE w:val="0"/>
        <w:autoSpaceDN w:val="0"/>
        <w:adjustRightInd w:val="0"/>
        <w:spacing w:line="360" w:lineRule="auto"/>
        <w:jc w:val="left"/>
        <w:rPr>
          <w:rFonts w:ascii="宋体"/>
          <w:kern w:val="0"/>
          <w:szCs w:val="21"/>
          <w:lang w:val="zh-CN"/>
        </w:rPr>
      </w:pPr>
      <w:r>
        <w:rPr>
          <w:rFonts w:hint="eastAsia" w:ascii="宋体"/>
          <w:kern w:val="0"/>
          <w:szCs w:val="21"/>
          <w:lang w:val="zh-CN"/>
        </w:rPr>
        <w:t>　　第二、一审再审系判决改变原判的，表述为：</w:t>
      </w:r>
      <w:r>
        <w:rPr>
          <w:rFonts w:ascii="宋体"/>
          <w:kern w:val="0"/>
          <w:szCs w:val="21"/>
          <w:lang w:val="zh-CN"/>
        </w:rPr>
        <w:t xml:space="preserve"> </w:t>
      </w:r>
    </w:p>
    <w:p w14:paraId="2C1EBC10">
      <w:pPr>
        <w:autoSpaceDE w:val="0"/>
        <w:autoSpaceDN w:val="0"/>
        <w:adjustRightInd w:val="0"/>
        <w:spacing w:line="360" w:lineRule="auto"/>
        <w:jc w:val="left"/>
        <w:rPr>
          <w:rFonts w:ascii="宋体"/>
          <w:kern w:val="0"/>
          <w:szCs w:val="21"/>
          <w:lang w:val="zh-CN"/>
        </w:rPr>
      </w:pPr>
      <w:r>
        <w:rPr>
          <w:rFonts w:hint="eastAsia" w:ascii="宋体"/>
          <w:kern w:val="0"/>
          <w:szCs w:val="21"/>
          <w:lang w:val="zh-CN"/>
        </w:rPr>
        <w:t>　　</w:t>
      </w:r>
      <w:r>
        <w:rPr>
          <w:rFonts w:ascii="宋体"/>
          <w:kern w:val="0"/>
          <w:szCs w:val="21"/>
          <w:lang w:val="zh-CN"/>
        </w:rPr>
        <w:t>“</w:t>
      </w:r>
      <w:r>
        <w:rPr>
          <w:rFonts w:hint="eastAsia" w:ascii="宋体"/>
          <w:kern w:val="0"/>
          <w:szCs w:val="21"/>
          <w:lang w:val="zh-CN"/>
        </w:rPr>
        <w:t>驳回上诉，维持××××人民法院（××××）×刑再初字第××号刑事判决。</w:t>
      </w:r>
      <w:r>
        <w:rPr>
          <w:rFonts w:ascii="宋体"/>
          <w:kern w:val="0"/>
          <w:szCs w:val="21"/>
          <w:lang w:val="zh-CN"/>
        </w:rPr>
        <w:t>”</w:t>
      </w:r>
      <w:r>
        <w:rPr>
          <w:rFonts w:hint="eastAsia" w:ascii="宋体"/>
          <w:kern w:val="0"/>
          <w:szCs w:val="21"/>
          <w:lang w:val="zh-CN"/>
        </w:rPr>
        <w:t>〕</w:t>
      </w:r>
      <w:r>
        <w:rPr>
          <w:rFonts w:ascii="宋体"/>
          <w:kern w:val="0"/>
          <w:szCs w:val="21"/>
          <w:lang w:val="zh-CN"/>
        </w:rPr>
        <w:t xml:space="preserve"> </w:t>
      </w:r>
    </w:p>
    <w:p w14:paraId="0DD96715">
      <w:pPr>
        <w:autoSpaceDE w:val="0"/>
        <w:autoSpaceDN w:val="0"/>
        <w:adjustRightInd w:val="0"/>
        <w:spacing w:line="360" w:lineRule="auto"/>
        <w:jc w:val="left"/>
        <w:rPr>
          <w:rFonts w:ascii="宋体"/>
          <w:kern w:val="0"/>
          <w:szCs w:val="21"/>
          <w:lang w:val="zh-CN"/>
        </w:rPr>
      </w:pPr>
      <w:r>
        <w:rPr>
          <w:rFonts w:hint="eastAsia" w:ascii="宋体"/>
          <w:kern w:val="0"/>
          <w:szCs w:val="21"/>
          <w:lang w:val="zh-CN"/>
        </w:rPr>
        <w:t>　　本裁定为终审裁定。</w:t>
      </w:r>
      <w:r>
        <w:rPr>
          <w:rFonts w:ascii="宋体"/>
          <w:kern w:val="0"/>
          <w:szCs w:val="21"/>
          <w:lang w:val="zh-CN"/>
        </w:rPr>
        <w:t xml:space="preserve"> </w:t>
      </w:r>
    </w:p>
    <w:p w14:paraId="009FBFF0">
      <w:pPr>
        <w:autoSpaceDE w:val="0"/>
        <w:autoSpaceDN w:val="0"/>
        <w:adjustRightInd w:val="0"/>
        <w:spacing w:line="360" w:lineRule="auto"/>
        <w:jc w:val="left"/>
        <w:rPr>
          <w:rFonts w:ascii="宋体"/>
          <w:kern w:val="0"/>
          <w:szCs w:val="21"/>
          <w:lang w:val="zh-CN"/>
        </w:rPr>
      </w:pPr>
      <w:r>
        <w:rPr>
          <w:rFonts w:hint="eastAsia" w:ascii="宋体"/>
          <w:kern w:val="0"/>
          <w:szCs w:val="21"/>
          <w:lang w:val="zh-CN"/>
        </w:rPr>
        <w:t>　　　　　　　　　　　　　　　　　　　　　　　　　审判长　×××</w:t>
      </w:r>
      <w:r>
        <w:rPr>
          <w:rFonts w:ascii="宋体"/>
          <w:kern w:val="0"/>
          <w:szCs w:val="21"/>
          <w:lang w:val="zh-CN"/>
        </w:rPr>
        <w:t xml:space="preserve"> </w:t>
      </w:r>
    </w:p>
    <w:p w14:paraId="25B25F5C">
      <w:pPr>
        <w:autoSpaceDE w:val="0"/>
        <w:autoSpaceDN w:val="0"/>
        <w:adjustRightInd w:val="0"/>
        <w:spacing w:line="360" w:lineRule="auto"/>
        <w:jc w:val="left"/>
        <w:rPr>
          <w:rFonts w:ascii="宋体"/>
          <w:kern w:val="0"/>
          <w:szCs w:val="21"/>
          <w:lang w:val="zh-CN"/>
        </w:rPr>
      </w:pPr>
      <w:r>
        <w:rPr>
          <w:rFonts w:hint="eastAsia" w:ascii="宋体"/>
          <w:kern w:val="0"/>
          <w:szCs w:val="21"/>
          <w:lang w:val="zh-CN"/>
        </w:rPr>
        <w:t>　　　　　　　　　　　　　　　　　　　　　　　　　审判员　×××</w:t>
      </w:r>
      <w:r>
        <w:rPr>
          <w:rFonts w:ascii="宋体"/>
          <w:kern w:val="0"/>
          <w:szCs w:val="21"/>
          <w:lang w:val="zh-CN"/>
        </w:rPr>
        <w:t xml:space="preserve"> </w:t>
      </w:r>
    </w:p>
    <w:p w14:paraId="6E6393CB">
      <w:pPr>
        <w:autoSpaceDE w:val="0"/>
        <w:autoSpaceDN w:val="0"/>
        <w:adjustRightInd w:val="0"/>
        <w:spacing w:line="360" w:lineRule="auto"/>
        <w:jc w:val="left"/>
        <w:rPr>
          <w:rFonts w:ascii="宋体"/>
          <w:kern w:val="0"/>
          <w:szCs w:val="21"/>
          <w:lang w:val="zh-CN"/>
        </w:rPr>
      </w:pPr>
      <w:r>
        <w:rPr>
          <w:rFonts w:hint="eastAsia" w:ascii="宋体"/>
          <w:kern w:val="0"/>
          <w:szCs w:val="21"/>
          <w:lang w:val="zh-CN"/>
        </w:rPr>
        <w:t>　　　　　　　　　　　　　　　　　　　　　　　　　审判员　×××</w:t>
      </w:r>
      <w:r>
        <w:rPr>
          <w:rFonts w:ascii="宋体"/>
          <w:kern w:val="0"/>
          <w:szCs w:val="21"/>
          <w:lang w:val="zh-CN"/>
        </w:rPr>
        <w:t xml:space="preserve"> </w:t>
      </w:r>
    </w:p>
    <w:p w14:paraId="3EFE79B0">
      <w:pPr>
        <w:autoSpaceDE w:val="0"/>
        <w:autoSpaceDN w:val="0"/>
        <w:adjustRightInd w:val="0"/>
        <w:spacing w:line="360" w:lineRule="auto"/>
        <w:jc w:val="left"/>
        <w:rPr>
          <w:rFonts w:ascii="宋体"/>
          <w:kern w:val="0"/>
          <w:szCs w:val="21"/>
          <w:lang w:val="zh-CN"/>
        </w:rPr>
      </w:pPr>
      <w:r>
        <w:rPr>
          <w:rFonts w:hint="eastAsia" w:ascii="宋体"/>
          <w:kern w:val="0"/>
          <w:szCs w:val="21"/>
          <w:lang w:val="zh-CN"/>
        </w:rPr>
        <w:t>　　　　　　　　　　　　　　　　　　　　　　　××××年××月××日</w:t>
      </w:r>
      <w:r>
        <w:rPr>
          <w:rFonts w:ascii="宋体"/>
          <w:kern w:val="0"/>
          <w:szCs w:val="21"/>
          <w:lang w:val="zh-CN"/>
        </w:rPr>
        <w:t xml:space="preserve"> </w:t>
      </w:r>
    </w:p>
    <w:p w14:paraId="5C546512">
      <w:pPr>
        <w:autoSpaceDE w:val="0"/>
        <w:autoSpaceDN w:val="0"/>
        <w:adjustRightInd w:val="0"/>
        <w:spacing w:line="360" w:lineRule="auto"/>
        <w:jc w:val="left"/>
        <w:rPr>
          <w:rFonts w:ascii="宋体"/>
          <w:kern w:val="0"/>
          <w:szCs w:val="21"/>
          <w:lang w:val="zh-CN"/>
        </w:rPr>
      </w:pPr>
      <w:r>
        <w:rPr>
          <w:rFonts w:hint="eastAsia" w:ascii="宋体"/>
          <w:kern w:val="0"/>
          <w:szCs w:val="21"/>
          <w:lang w:val="zh-CN"/>
        </w:rPr>
        <w:t>　　　　　　　　　　　　　　　　　　　　　　　　　　　（院印）</w:t>
      </w:r>
      <w:r>
        <w:rPr>
          <w:rFonts w:ascii="宋体"/>
          <w:kern w:val="0"/>
          <w:szCs w:val="21"/>
          <w:lang w:val="zh-CN"/>
        </w:rPr>
        <w:t xml:space="preserve"> </w:t>
      </w:r>
    </w:p>
    <w:p w14:paraId="3D1A17F9">
      <w:pPr>
        <w:autoSpaceDE w:val="0"/>
        <w:autoSpaceDN w:val="0"/>
        <w:adjustRightInd w:val="0"/>
        <w:spacing w:line="360" w:lineRule="auto"/>
        <w:jc w:val="left"/>
        <w:rPr>
          <w:rFonts w:ascii="宋体"/>
          <w:kern w:val="0"/>
          <w:szCs w:val="21"/>
          <w:lang w:val="zh-CN"/>
        </w:rPr>
      </w:pPr>
      <w:r>
        <w:rPr>
          <w:rFonts w:hint="eastAsia" w:ascii="宋体"/>
          <w:kern w:val="0"/>
          <w:szCs w:val="21"/>
          <w:lang w:val="zh-CN"/>
        </w:rPr>
        <w:t>　　本件与原本核对无异</w:t>
      </w:r>
      <w:r>
        <w:rPr>
          <w:rFonts w:ascii="宋体"/>
          <w:kern w:val="0"/>
          <w:szCs w:val="21"/>
          <w:lang w:val="zh-CN"/>
        </w:rPr>
        <w:t xml:space="preserve"> </w:t>
      </w:r>
    </w:p>
    <w:p w14:paraId="253F387E">
      <w:pPr>
        <w:spacing w:line="360" w:lineRule="auto"/>
      </w:pPr>
      <w:r>
        <w:rPr>
          <w:rFonts w:hint="eastAsia" w:ascii="宋体"/>
          <w:kern w:val="0"/>
          <w:szCs w:val="21"/>
          <w:lang w:val="zh-CN"/>
        </w:rPr>
        <w:t>　　　</w:t>
      </w:r>
      <w:bookmarkStart w:id="0" w:name="_GoBack"/>
      <w:bookmarkEnd w:id="0"/>
      <w:r>
        <w:rPr>
          <w:rFonts w:hint="eastAsia" w:ascii="宋体"/>
          <w:kern w:val="0"/>
          <w:szCs w:val="21"/>
          <w:lang w:val="zh-CN"/>
        </w:rPr>
        <w:t>　　　　　　　　　　　　　　　　　　　　　　　书记员　×××</w:t>
      </w:r>
    </w:p>
    <w:sectPr>
      <w:footnotePr>
        <w:numFmt w:val="decimal"/>
      </w:footnote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C5FCD"/>
    <w:rsid w:val="4CE4474D"/>
    <w:rsid w:val="650C5F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723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1723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4f0e3e6f39cf2bbc48f6c5634c754d04\&#21009;&#20107;&#35009;&#23450;&#20070;&#20877;&#23457;&#21518;&#30340;&#19978;&#35785;&#25239;&#35785;&#26696;&#20214;&#20108;&#23457;&#32500;&#25345;&#21407;&#21028;&#29992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刑事裁定书再审后的上诉抗诉案件二审维持原判用.doc</Template>
  <Pages>2</Pages>
  <Words>911</Words>
  <Characters>911</Characters>
  <Lines>8</Lines>
  <Paragraphs>1</Paragraphs>
  <TotalTime>2</TotalTime>
  <ScaleCrop>false</ScaleCrop>
  <LinksUpToDate>false</LinksUpToDate>
  <CharactersWithSpaces>1173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2025-05-28T09:35:00Z</dcterms:created>
  <dc:creator>rankin</dc:creator>
  <cp:lastModifiedBy>曹某某</cp:lastModifiedBy>
  <dcterms:modified xsi:type="dcterms:W3CDTF">2025-05-28T09:47:10Z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UUID">
    <vt:lpwstr>v1.0_mb_8Vw0+6PlW7/h0ysFn4t+Hg==</vt:lpwstr>
  </property>
  <property fmtid="{D5CDD505-2E9C-101B-9397-08002B2CF9AE}" pid="3" name="KSOProductBuildVer">
    <vt:lpwstr>2052-12.1.0.21171</vt:lpwstr>
  </property>
  <property fmtid="{D5CDD505-2E9C-101B-9397-08002B2CF9AE}" pid="4" name="ICV">
    <vt:lpwstr>D3D9C95223984BF1936D3865B7D29D8C_11</vt:lpwstr>
  </property>
  <property fmtid="{D5CDD505-2E9C-101B-9397-08002B2CF9AE}" pid="5" name="KSOTemplateDocerSaveRecord">
    <vt:lpwstr>eyJoZGlkIjoiMDdhZDAyODE5NWY4MTJlZWE1MDIxNmY4ZDVlNmNkODkiLCJ1c2VySWQiOiIyMzcxOTMxNDEifQ==</vt:lpwstr>
  </property>
</Properties>
</file>